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2F" w:rsidRDefault="0036722F" w:rsidP="0036722F">
      <w:pPr>
        <w:spacing w:after="0" w:line="240" w:lineRule="auto"/>
        <w:outlineLvl w:val="2"/>
        <w:rPr>
          <w:rFonts w:ascii="Arial" w:eastAsia="Times New Roman" w:hAnsi="Arial" w:cs="Arial"/>
          <w:b/>
          <w:bCs/>
          <w:sz w:val="24"/>
          <w:szCs w:val="24"/>
          <w:lang w:val="en-US" w:eastAsia="hu-HU"/>
        </w:rPr>
      </w:pPr>
      <w:r>
        <w:rPr>
          <w:rFonts w:ascii="Arial" w:eastAsia="Times New Roman" w:hAnsi="Arial" w:cs="Arial"/>
          <w:b/>
          <w:bCs/>
          <w:sz w:val="24"/>
          <w:szCs w:val="24"/>
          <w:lang w:val="en-US" w:eastAsia="hu-HU"/>
        </w:rPr>
        <w:t>Abstract</w:t>
      </w:r>
    </w:p>
    <w:p w:rsidR="0036722F" w:rsidRDefault="0036722F" w:rsidP="0036722F">
      <w:pPr>
        <w:spacing w:after="0" w:line="240" w:lineRule="auto"/>
        <w:jc w:val="both"/>
        <w:rPr>
          <w:rFonts w:ascii="Arial" w:eastAsia="Times New Roman" w:hAnsi="Arial" w:cs="Arial"/>
          <w:sz w:val="24"/>
          <w:szCs w:val="24"/>
          <w:lang w:val="en-US" w:eastAsia="hu-HU"/>
        </w:rPr>
      </w:pPr>
      <w:r>
        <w:rPr>
          <w:rFonts w:ascii="Arial" w:eastAsia="Times New Roman" w:hAnsi="Arial" w:cs="Arial"/>
          <w:sz w:val="24"/>
          <w:szCs w:val="24"/>
          <w:lang w:val="en-US" w:eastAsia="hu-HU"/>
        </w:rPr>
        <w:t xml:space="preserve">Scientific interest in </w:t>
      </w:r>
      <w:proofErr w:type="spellStart"/>
      <w:r>
        <w:rPr>
          <w:rFonts w:ascii="Arial" w:eastAsia="Times New Roman" w:hAnsi="Arial" w:cs="Arial"/>
          <w:sz w:val="24"/>
          <w:szCs w:val="24"/>
          <w:lang w:val="en-US" w:eastAsia="hu-HU"/>
        </w:rPr>
        <w:t>ischaemic</w:t>
      </w:r>
      <w:proofErr w:type="spellEnd"/>
      <w:r>
        <w:rPr>
          <w:rFonts w:ascii="Arial" w:eastAsia="Times New Roman" w:hAnsi="Arial" w:cs="Arial"/>
          <w:sz w:val="24"/>
          <w:szCs w:val="24"/>
          <w:lang w:val="en-US" w:eastAsia="hu-HU"/>
        </w:rPr>
        <w:t xml:space="preserve"> heart disease (</w:t>
      </w:r>
      <w:proofErr w:type="spellStart"/>
      <w:r>
        <w:rPr>
          <w:rFonts w:ascii="Arial" w:eastAsia="Times New Roman" w:hAnsi="Arial" w:cs="Arial"/>
          <w:sz w:val="24"/>
          <w:szCs w:val="24"/>
          <w:lang w:val="en-US" w:eastAsia="hu-HU"/>
        </w:rPr>
        <w:t>IHD</w:t>
      </w:r>
      <w:proofErr w:type="spellEnd"/>
      <w:r>
        <w:rPr>
          <w:rFonts w:ascii="Arial" w:eastAsia="Times New Roman" w:hAnsi="Arial" w:cs="Arial"/>
          <w:sz w:val="24"/>
          <w:szCs w:val="24"/>
          <w:lang w:val="en-US" w:eastAsia="hu-HU"/>
        </w:rPr>
        <w:t xml:space="preserve">) in women has grown considerably over the past 2 decades. A substantial amount of the literature on this subject is centered on sex differences in clinical aspects of </w:t>
      </w:r>
      <w:proofErr w:type="spellStart"/>
      <w:r>
        <w:rPr>
          <w:rFonts w:ascii="Arial" w:eastAsia="Times New Roman" w:hAnsi="Arial" w:cs="Arial"/>
          <w:sz w:val="24"/>
          <w:szCs w:val="24"/>
          <w:lang w:val="en-US" w:eastAsia="hu-HU"/>
        </w:rPr>
        <w:t>IHD</w:t>
      </w:r>
      <w:proofErr w:type="spellEnd"/>
      <w:r>
        <w:rPr>
          <w:rFonts w:ascii="Arial" w:eastAsia="Times New Roman" w:hAnsi="Arial" w:cs="Arial"/>
          <w:sz w:val="24"/>
          <w:szCs w:val="24"/>
          <w:lang w:val="en-US" w:eastAsia="hu-HU"/>
        </w:rPr>
        <w:t xml:space="preserve">. Many reports have documented sex-related differences in presentation, risk profiles, and outcomes among patients with </w:t>
      </w:r>
      <w:proofErr w:type="spellStart"/>
      <w:r>
        <w:rPr>
          <w:rFonts w:ascii="Arial" w:eastAsia="Times New Roman" w:hAnsi="Arial" w:cs="Arial"/>
          <w:sz w:val="24"/>
          <w:szCs w:val="24"/>
          <w:lang w:val="en-US" w:eastAsia="hu-HU"/>
        </w:rPr>
        <w:t>IHD</w:t>
      </w:r>
      <w:proofErr w:type="spellEnd"/>
      <w:r>
        <w:rPr>
          <w:rFonts w:ascii="Arial" w:eastAsia="Times New Roman" w:hAnsi="Arial" w:cs="Arial"/>
          <w:sz w:val="24"/>
          <w:szCs w:val="24"/>
          <w:lang w:val="en-US" w:eastAsia="hu-HU"/>
        </w:rPr>
        <w:t xml:space="preserve">, particularly acute myocardial infarction. Such differences have often been attributed to inequalities between men and women in the referral and treatment of </w:t>
      </w:r>
      <w:proofErr w:type="spellStart"/>
      <w:r>
        <w:rPr>
          <w:rFonts w:ascii="Arial" w:eastAsia="Times New Roman" w:hAnsi="Arial" w:cs="Arial"/>
          <w:sz w:val="24"/>
          <w:szCs w:val="24"/>
          <w:lang w:val="en-US" w:eastAsia="hu-HU"/>
        </w:rPr>
        <w:t>IHD</w:t>
      </w:r>
      <w:proofErr w:type="spellEnd"/>
      <w:r>
        <w:rPr>
          <w:rFonts w:ascii="Arial" w:eastAsia="Times New Roman" w:hAnsi="Arial" w:cs="Arial"/>
          <w:sz w:val="24"/>
          <w:szCs w:val="24"/>
          <w:lang w:val="en-US" w:eastAsia="hu-HU"/>
        </w:rPr>
        <w:t xml:space="preserve">, but data are insufficient to support this assessment. The determinants of sex differences in presentation are unclear, and few clues are available as to why young, premenopausal women paradoxically have a greater incidence of adverse outcomes after acute myocardial infarction than men, despite having less-severe coronary artery disease. Although differential treatment on the basis of patient sex continues to be described, the extent to which such inequalities persist and whether they reflect true disparity is unclear. Additionally, much uncertainty surrounds possible sex-related differences in response to cardiovascular therapies, partly because of a persistent lack of female-specific data from cardiovascular clinical trials. In this Review, we assess the evidence for sex-related differences in the clinical presentation, treatment, and outcome of </w:t>
      </w:r>
      <w:proofErr w:type="spellStart"/>
      <w:r>
        <w:rPr>
          <w:rFonts w:ascii="Arial" w:eastAsia="Times New Roman" w:hAnsi="Arial" w:cs="Arial"/>
          <w:sz w:val="24"/>
          <w:szCs w:val="24"/>
          <w:lang w:val="en-US" w:eastAsia="hu-HU"/>
        </w:rPr>
        <w:t>IHD</w:t>
      </w:r>
      <w:proofErr w:type="spellEnd"/>
      <w:r>
        <w:rPr>
          <w:rFonts w:ascii="Arial" w:eastAsia="Times New Roman" w:hAnsi="Arial" w:cs="Arial"/>
          <w:sz w:val="24"/>
          <w:szCs w:val="24"/>
          <w:lang w:val="en-US" w:eastAsia="hu-HU"/>
        </w:rPr>
        <w:t>, and identify gaps in the literature that need to be addressed in future research efforts.</w:t>
      </w:r>
    </w:p>
    <w:p w:rsidR="00900489" w:rsidRPr="0036722F" w:rsidRDefault="00900489">
      <w:pPr>
        <w:rPr>
          <w:lang w:val="en-US"/>
        </w:rPr>
      </w:pPr>
      <w:bookmarkStart w:id="0" w:name="_GoBack"/>
      <w:bookmarkEnd w:id="0"/>
    </w:p>
    <w:sectPr w:rsidR="00900489" w:rsidRPr="00367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2F"/>
    <w:rsid w:val="0036722F"/>
    <w:rsid w:val="009004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722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722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1287</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Anikó</dc:creator>
  <cp:lastModifiedBy>Berta Anikó</cp:lastModifiedBy>
  <cp:revision>1</cp:revision>
  <dcterms:created xsi:type="dcterms:W3CDTF">2013-08-20T22:14:00Z</dcterms:created>
  <dcterms:modified xsi:type="dcterms:W3CDTF">2013-08-20T22:14:00Z</dcterms:modified>
</cp:coreProperties>
</file>